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ard"/>
        <w:rPr>
          <w:rtl w:val="0"/>
        </w:rPr>
      </w:pPr>
      <w:r>
        <w:rPr>
          <w:rFonts w:ascii="Times New Roman Bold"/>
          <w:rtl w:val="0"/>
          <w:lang w:val="nl-NL"/>
        </w:rPr>
        <w:t>Bijlage 1</w:t>
      </w:r>
      <w:r>
        <w:rPr>
          <w:rFonts w:ascii="Times New Roman" w:cs="Arial Unicode MS" w:hAnsi="Arial Unicode MS" w:eastAsia="Arial Unicode MS"/>
          <w:rtl w:val="0"/>
          <w:lang w:val="nl-NL"/>
        </w:rPr>
        <w:t xml:space="preserve"> bij de ledenbrief van 20 september 2011, ECGR/U201100606</w:t>
      </w:r>
    </w:p>
    <w:p>
      <w:pPr>
        <w:pStyle w:val="Standaard"/>
        <w:rPr>
          <w:rtl w:val="0"/>
        </w:rPr>
      </w:pPr>
    </w:p>
    <w:p>
      <w:pPr>
        <w:pStyle w:val="Standaard"/>
        <w:rPr>
          <w:rFonts w:ascii="Times New Roman Bold" w:cs="Times New Roman Bold" w:hAnsi="Times New Roman Bold" w:eastAsia="Times New Roman Bold"/>
          <w:rtl w:val="0"/>
        </w:rPr>
      </w:pPr>
      <w:r>
        <w:rPr>
          <w:rFonts w:ascii="Times New Roman Bold"/>
          <w:rtl w:val="0"/>
          <w:lang w:val="nl-NL"/>
        </w:rPr>
        <w:t>14</w:t>
      </w:r>
      <w:r>
        <w:rPr>
          <w:rFonts w:ascii="Times New Roman Bold"/>
          <w:vertAlign w:val="superscript"/>
          <w:rtl w:val="0"/>
          <w:lang w:val="nl-NL"/>
        </w:rPr>
        <w:t>e</w:t>
      </w:r>
      <w:r>
        <w:rPr>
          <w:rFonts w:ascii="Times New Roman Bold"/>
          <w:rtl w:val="0"/>
          <w:lang w:val="nl-NL"/>
        </w:rPr>
        <w:t xml:space="preserve"> serie wijzigingen MBV 1992</w:t>
      </w:r>
    </w:p>
    <w:p>
      <w:pPr>
        <w:pStyle w:val="Standaard"/>
        <w:rPr>
          <w:rFonts w:ascii="Times New Roman Bold" w:cs="Times New Roman Bold" w:hAnsi="Times New Roman Bold" w:eastAsia="Times New Roman Bold"/>
          <w:rtl w:val="0"/>
        </w:rPr>
      </w:pPr>
    </w:p>
    <w:p>
      <w:pPr>
        <w:pStyle w:val="Standaard"/>
        <w:rPr>
          <w:rtl w:val="0"/>
        </w:rPr>
      </w:pPr>
      <w:r>
        <w:rPr>
          <w:rFonts w:ascii="Times New Roman" w:cs="Arial Unicode MS" w:hAnsi="Arial Unicode MS" w:eastAsia="Arial Unicode MS"/>
          <w:rtl w:val="0"/>
          <w:lang w:val="nl-NL"/>
        </w:rPr>
        <w:t xml:space="preserve">De raad der gemeente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tl w:val="0"/>
        </w:rPr>
      </w:pPr>
      <w:r>
        <w:rPr>
          <w:rFonts w:ascii="Times New Roman" w:cs="Arial Unicode MS" w:hAnsi="Arial Unicode MS" w:eastAsia="Arial Unicode MS"/>
          <w:rtl w:val="0"/>
          <w:lang w:val="nl-NL"/>
        </w:rPr>
        <w:t>Gezien de ledenbrief van de vereniging van Nederlandse Gemeenten, kenmerk ECGR/U2011</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 xml:space="preserve">, dd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tl w:val="0"/>
        </w:rPr>
      </w:pPr>
      <w:r>
        <w:rPr>
          <w:rFonts w:ascii="Times New Roman" w:cs="Arial Unicode MS" w:hAnsi="Arial Unicode MS" w:eastAsia="Arial Unicode MS"/>
          <w:rtl w:val="0"/>
          <w:lang w:val="nl-NL"/>
        </w:rPr>
        <w:t xml:space="preserve">Gelet op artikel 8 van de Woningwet en het Bouwbesluit 2012 (Stcr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 xml:space="preserve">.) en het Veegbesluit (Stcr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tl w:val="0"/>
        </w:rPr>
      </w:pPr>
      <w:r>
        <w:rPr>
          <w:rFonts w:ascii="Times New Roman" w:cs="Arial Unicode MS" w:hAnsi="Arial Unicode MS" w:eastAsia="Arial Unicode MS"/>
          <w:rtl w:val="0"/>
          <w:lang w:val="nl-NL"/>
        </w:rPr>
        <w:t>Besluit vast te stellen de volgende verordening tot wijziging van de bouwverordening.</w:t>
      </w:r>
    </w:p>
    <w:p>
      <w:pPr>
        <w:pStyle w:val="Standaard"/>
        <w:rPr>
          <w:rtl w:val="0"/>
        </w:rPr>
      </w:pPr>
    </w:p>
    <w:p>
      <w:pPr>
        <w:pStyle w:val="Standaard"/>
        <w:rPr>
          <w:rFonts w:ascii="Times New Roman Bold" w:cs="Times New Roman Bold" w:hAnsi="Times New Roman Bold" w:eastAsia="Times New Roman Bold"/>
          <w:sz w:val="28"/>
          <w:szCs w:val="28"/>
        </w:rPr>
      </w:pPr>
      <w:r>
        <w:rPr>
          <w:rFonts w:ascii="Times New Roman Bold"/>
          <w:sz w:val="28"/>
          <w:szCs w:val="28"/>
          <w:rtl w:val="0"/>
          <w:lang w:val="nl-NL"/>
        </w:rPr>
        <w:t>Artikel A Wijzigingen van de bouwverordening</w:t>
      </w:r>
    </w:p>
    <w:p>
      <w:pPr>
        <w:pStyle w:val="Standaard"/>
        <w:rPr>
          <w:rtl w:val="0"/>
        </w:rPr>
      </w:pPr>
      <w:r>
        <w:rPr>
          <w:rFonts w:ascii="Times New Roman" w:cs="Arial Unicode MS" w:hAnsi="Arial Unicode MS" w:eastAsia="Arial Unicode MS"/>
          <w:rtl w:val="0"/>
          <w:lang w:val="nl-NL"/>
        </w:rPr>
        <w:t xml:space="preserve">De bouwverordening wordt gewijzigd conform de met II aangegeven hierna volgende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wijzigingen van de bouwverordening</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tl w:val="0"/>
        </w:rPr>
      </w:pPr>
    </w:p>
    <w:p>
      <w:pPr>
        <w:pStyle w:val="Standaard"/>
        <w:rPr>
          <w:b w:val="1"/>
          <w:bCs w:val="1"/>
          <w:i w:val="1"/>
          <w:iCs w:val="1"/>
        </w:rPr>
      </w:pPr>
      <w:r>
        <w:rPr>
          <w:rFonts w:ascii="Times New Roman" w:cs="Arial Unicode MS" w:hAnsi="Arial Unicode MS" w:eastAsia="Arial Unicode MS"/>
          <w:b w:val="1"/>
          <w:bCs w:val="1"/>
          <w:i w:val="1"/>
          <w:iCs w:val="1"/>
          <w:rtl w:val="0"/>
          <w:lang w:val="nl-NL"/>
        </w:rPr>
        <w:t>Hoofdstuk 1 Inleidende bepalingen</w:t>
      </w:r>
    </w:p>
    <w:p>
      <w:pPr>
        <w:pStyle w:val="Standaard"/>
        <w:rPr>
          <w:b w:val="1"/>
          <w:bCs w:val="1"/>
          <w:i w:val="1"/>
          <w:iCs w:val="1"/>
        </w:rPr>
      </w:pPr>
    </w:p>
    <w:p>
      <w:pPr>
        <w:pStyle w:val="Standaard"/>
        <w:rPr>
          <w:rFonts w:ascii="Times New Roman Bold" w:cs="Times New Roman Bold" w:hAnsi="Times New Roman Bold" w:eastAsia="Times New Roman Bold"/>
          <w:rtl w:val="0"/>
        </w:rPr>
      </w:pPr>
      <w:r>
        <w:rPr>
          <w:rFonts w:ascii="Times New Roman Bold"/>
          <w:rtl w:val="0"/>
          <w:lang w:val="nl-NL"/>
        </w:rPr>
        <w:t>Artikel 1.1 Begripomschrijvingen</w:t>
      </w:r>
    </w:p>
    <w:p>
      <w:pPr>
        <w:pStyle w:val="Standaard"/>
        <w:rPr>
          <w:rFonts w:ascii="Times New Roman Bold" w:cs="Times New Roman Bold" w:hAnsi="Times New Roman Bold" w:eastAsia="Times New Roman Bold"/>
          <w:rtl w:val="0"/>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 xml:space="preserve">Het Bouwbesluit 2012 dat op </w:t>
      </w:r>
      <w:r>
        <w:rPr>
          <w:rFonts w:ascii="Times New Roman Bold"/>
          <w:rtl w:val="0"/>
          <w:lang w:val="nl-NL"/>
        </w:rPr>
        <w:t>1 april 2012</w:t>
      </w:r>
      <w:r>
        <w:rPr>
          <w:rFonts w:ascii="Times New Roman" w:cs="Arial Unicode MS" w:hAnsi="Arial Unicode MS" w:eastAsia="Arial Unicode MS"/>
          <w:rtl w:val="0"/>
          <w:lang w:val="nl-NL"/>
        </w:rPr>
        <w:t xml:space="preserve"> *in werking zal treden bevat een groot aantal bepalingen waarin tot dan de bouwverordening heeft voorzien. De betreffende bepalingen van de bouwverordening vervallen daarmee van rechtswege.</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De definities van:</w:t>
      </w:r>
    </w:p>
    <w:p>
      <w:pPr>
        <w:pStyle w:val="Standaard"/>
        <w:numPr>
          <w:ilvl w:val="0"/>
          <w:numId w:val="3"/>
        </w:numPr>
        <w:tabs>
          <w:tab w:val="num" w:pos="720"/>
          <w:tab w:val="clear" w:pos="0"/>
        </w:tabs>
        <w:ind w:left="720" w:hanging="360"/>
        <w:rPr>
          <w:position w:val="0"/>
          <w:sz w:val="24"/>
          <w:szCs w:val="24"/>
          <w:rtl w:val="0"/>
        </w:rPr>
      </w:pPr>
      <w:r>
        <w:rPr>
          <w:rtl w:val="0"/>
          <w:lang w:val="nl-NL"/>
        </w:rPr>
        <w:t>asbest,</w:t>
      </w:r>
    </w:p>
    <w:p>
      <w:pPr>
        <w:pStyle w:val="Standaard"/>
        <w:numPr>
          <w:ilvl w:val="0"/>
          <w:numId w:val="3"/>
        </w:numPr>
        <w:tabs>
          <w:tab w:val="num" w:pos="720"/>
          <w:tab w:val="clear" w:pos="0"/>
        </w:tabs>
        <w:ind w:left="720" w:hanging="360"/>
        <w:rPr>
          <w:position w:val="0"/>
          <w:sz w:val="24"/>
          <w:szCs w:val="24"/>
          <w:rtl w:val="0"/>
        </w:rPr>
      </w:pPr>
      <w:r>
        <w:rPr>
          <w:rtl w:val="0"/>
          <w:lang w:val="nl-NL"/>
        </w:rPr>
        <w:t>deskundig bedrijf als bedoeld in hoofdstuk 8,</w:t>
      </w:r>
    </w:p>
    <w:p>
      <w:pPr>
        <w:pStyle w:val="Standaard"/>
        <w:numPr>
          <w:ilvl w:val="0"/>
          <w:numId w:val="3"/>
        </w:numPr>
        <w:tabs>
          <w:tab w:val="num" w:pos="720"/>
          <w:tab w:val="clear" w:pos="0"/>
        </w:tabs>
        <w:ind w:left="720" w:hanging="360"/>
        <w:rPr>
          <w:position w:val="0"/>
          <w:sz w:val="24"/>
          <w:szCs w:val="24"/>
          <w:rtl w:val="0"/>
        </w:rPr>
      </w:pPr>
      <w:r>
        <w:rPr>
          <w:rtl w:val="0"/>
          <w:lang w:val="nl-NL"/>
        </w:rPr>
        <w:t xml:space="preserve">Omgevingsvergunning voor het slopen </w:t>
      </w:r>
    </w:p>
    <w:p>
      <w:pPr>
        <w:pStyle w:val="Standaard"/>
        <w:rPr>
          <w:rtl w:val="0"/>
        </w:rPr>
      </w:pPr>
      <w:r>
        <w:rPr>
          <w:rFonts w:ascii="Times New Roman" w:cs="Arial Unicode MS" w:hAnsi="Arial Unicode MS" w:eastAsia="Arial Unicode MS"/>
          <w:rtl w:val="0"/>
          <w:lang w:val="nl-NL"/>
        </w:rPr>
        <w:t>worden geschrapt.</w:t>
      </w:r>
    </w:p>
    <w:p>
      <w:pPr>
        <w:pStyle w:val="Standaard"/>
        <w:rPr>
          <w:rtl w:val="0"/>
        </w:rPr>
      </w:pPr>
    </w:p>
    <w:p>
      <w:pPr>
        <w:pStyle w:val="Standaard"/>
        <w:rPr>
          <w:rtl w:val="0"/>
        </w:rPr>
      </w:pPr>
    </w:p>
    <w:p>
      <w:pPr>
        <w:pStyle w:val="Standaard"/>
        <w:rPr>
          <w:b w:val="1"/>
          <w:bCs w:val="1"/>
          <w:i w:val="1"/>
          <w:iCs w:val="1"/>
        </w:rPr>
      </w:pPr>
      <w:r>
        <w:rPr>
          <w:rFonts w:ascii="Times New Roman" w:cs="Arial Unicode MS" w:hAnsi="Arial Unicode MS" w:eastAsia="Arial Unicode MS"/>
          <w:b w:val="1"/>
          <w:bCs w:val="1"/>
          <w:i w:val="1"/>
          <w:iCs w:val="1"/>
          <w:rtl w:val="0"/>
          <w:lang w:val="nl-NL"/>
        </w:rPr>
        <w:t>Hoofdstuk 2 De aanvraag omgevingsvergunning voor het bouwen</w:t>
      </w:r>
    </w:p>
    <w:p>
      <w:pPr>
        <w:pStyle w:val="Standaard"/>
        <w:rPr>
          <w:rFonts w:ascii="Times New Roman Bold" w:cs="Times New Roman Bold" w:hAnsi="Times New Roman Bold" w:eastAsia="Times New Roman Bold"/>
        </w:rPr>
      </w:pPr>
    </w:p>
    <w:p>
      <w:pPr>
        <w:pStyle w:val="Standaard"/>
        <w:rPr>
          <w:i w:val="1"/>
          <w:iCs w:val="1"/>
        </w:rPr>
      </w:pPr>
      <w:r>
        <w:rPr>
          <w:rFonts w:ascii="Times New Roman" w:cs="Arial Unicode MS" w:hAnsi="Arial Unicode MS" w:eastAsia="Arial Unicode MS"/>
          <w:i w:val="1"/>
          <w:iCs w:val="1"/>
          <w:rtl w:val="0"/>
          <w:lang w:val="nl-NL"/>
        </w:rPr>
        <w:t>Paragraaf 5 Voorschriften van stedenbouwkundige aard en bereikbaarheidseisen</w:t>
      </w:r>
    </w:p>
    <w:p>
      <w:pPr>
        <w:pStyle w:val="Standaard"/>
        <w:rPr>
          <w:i w:val="1"/>
          <w:iCs w:val="1"/>
        </w:rPr>
      </w:pPr>
    </w:p>
    <w:p>
      <w:pPr>
        <w:pStyle w:val="Standaard"/>
        <w:rPr>
          <w:rFonts w:ascii="Times New Roman Bold" w:cs="Times New Roman Bold" w:hAnsi="Times New Roman Bold" w:eastAsia="Times New Roman Bold"/>
        </w:rPr>
      </w:pPr>
      <w:r>
        <w:rPr>
          <w:rFonts w:ascii="Times New Roman Bold"/>
          <w:rtl w:val="0"/>
          <w:lang w:val="nl-NL"/>
        </w:rPr>
        <w:t>Artikel 2.5.3 Bereikbaarheid van bouwwerken voor wegverkeer. Brandblusvoorzieningen</w:t>
      </w:r>
    </w:p>
    <w:p>
      <w:pPr>
        <w:pStyle w:val="Standaard"/>
        <w:rPr>
          <w:rFonts w:ascii="Times New Roman Bold" w:cs="Times New Roman Bold" w:hAnsi="Times New Roman Bold" w:eastAsia="Times New Roman Bold"/>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artikelen 6.30, lid 1, 6.37 en 6.38 van het Bouwbesluit 2012 voorzien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2.5.3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Fonts w:ascii="Times New Roman Bold" w:cs="Times New Roman Bold" w:hAnsi="Times New Roman Bold" w:eastAsia="Times New Roman Bold"/>
        </w:rPr>
      </w:pPr>
      <w:r>
        <w:rPr>
          <w:rFonts w:ascii="Times New Roman Bold"/>
          <w:rtl w:val="0"/>
          <w:lang w:val="nl-NL"/>
        </w:rPr>
        <w:t>Artikel 2.5.4 bereikbaarheid van gebouwen door gehandicapten</w:t>
      </w:r>
    </w:p>
    <w:p>
      <w:pPr>
        <w:pStyle w:val="Standaard"/>
        <w:rPr>
          <w:rFonts w:ascii="Times New Roman Bold" w:cs="Times New Roman Bold" w:hAnsi="Times New Roman Bold" w:eastAsia="Times New Roman Bold"/>
        </w:rPr>
      </w:pPr>
    </w:p>
    <w:p>
      <w:pPr>
        <w:pStyle w:val="Standaard"/>
        <w:rPr>
          <w:rtl w:val="0"/>
        </w:rPr>
      </w:pPr>
      <w:r>
        <w:rPr>
          <w:rFonts w:ascii="Times New Roman" w:cs="Arial Unicode MS" w:hAnsi="Arial Unicode MS" w:eastAsia="Arial Unicode MS"/>
          <w:rtl w:val="0"/>
          <w:lang w:val="nl-NL"/>
        </w:rPr>
        <w:t xml:space="preserve">I Motivering </w:t>
      </w:r>
    </w:p>
    <w:p>
      <w:pPr>
        <w:pStyle w:val="Standaard"/>
        <w:rPr>
          <w:rtl w:val="0"/>
        </w:rPr>
      </w:pPr>
      <w:r>
        <w:rPr>
          <w:rFonts w:ascii="Times New Roman" w:cs="Arial Unicode MS" w:hAnsi="Arial Unicode MS" w:eastAsia="Arial Unicode MS"/>
          <w:rtl w:val="0"/>
          <w:lang w:val="nl-NL"/>
        </w:rPr>
        <w:t>Artikel 6.49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2.5.4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7 Aansluitplicht op de nutsvoorzieningen</w:t>
      </w:r>
    </w:p>
    <w:p>
      <w:pPr>
        <w:pStyle w:val="Kop 4"/>
        <w:rPr>
          <w:sz w:val="24"/>
          <w:szCs w:val="24"/>
        </w:rPr>
      </w:pPr>
      <w:r>
        <w:rPr>
          <w:rFonts w:ascii="Times New Roman Bold" w:cs="Arial Unicode MS" w:hAnsi="Arial Unicode MS" w:eastAsia="Arial Unicode MS"/>
          <w:sz w:val="24"/>
          <w:szCs w:val="24"/>
          <w:rtl w:val="0"/>
          <w:lang w:val="nl-NL"/>
        </w:rPr>
        <w:t xml:space="preserve">Artikel 2.7.1 Eis tot aansluiting aan de waterleiding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6.14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2.7.2 Eis tot aansluiting aan het elektriciteitsnet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6.10, lid 1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2.7.3 Eis tot aansluiting aan het aardgasnet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6.10, lid 2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2.7.3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2.7.3A (facultatief) Eis tot aansluiting aan de publieke voorziening voor verwarming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6.10, lid 3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2.7.3A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2.7.4 Eis tot aansluiting aan de openbare riolering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6.18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2.7.4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2.7.5 Aansluiting anders dan aan de openbare riolering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6.4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2.7.5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2.7.6 Kwaliteit en dimensionering van de buitenriolering op erven en terreinen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6.18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2.7.6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2.7.7 Wijze van meten van de afstand tot de leidingen van het openbare net van de nutsvoorzieningen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1.1, lid 1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2.7.7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Kop 2"/>
        <w:rPr>
          <w:rFonts w:ascii="Times New Roman" w:cs="Times New Roman" w:hAnsi="Times New Roman" w:eastAsia="Times New Roman"/>
          <w:b w:val="1"/>
          <w:bCs w:val="1"/>
          <w:i w:val="1"/>
          <w:iCs w:val="1"/>
          <w:sz w:val="24"/>
          <w:szCs w:val="24"/>
        </w:rPr>
      </w:pPr>
      <w:r>
        <w:rPr>
          <w:rFonts w:ascii="Times New Roman"/>
          <w:b w:val="1"/>
          <w:bCs w:val="1"/>
          <w:i w:val="1"/>
          <w:iCs w:val="1"/>
          <w:sz w:val="24"/>
          <w:szCs w:val="24"/>
          <w:rtl w:val="0"/>
          <w:lang w:val="nl-NL"/>
        </w:rPr>
        <w:t>Hoofdstuk 4 Plichten tijdens en bij de voltooiing van de bouw en bij ingebruikneming van een bouwwerk</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4.2 Op het bouwterrein verplicht aanwezige bescheiden</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1.23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4.4 Het uitzetten van de bouw</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1.24 van het Bouwbesluit 2012 voorzien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4.4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4.5 Kennisgeving aan het bouwtoezicht van start van (onderdelen van) de bouwwerkzaamheden</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1.25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4.5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Fonts w:ascii="Times New Roman Bold" w:cs="Times New Roman Bold" w:hAnsi="Times New Roman Bold" w:eastAsia="Times New Roman Bold"/>
          <w:rtl w:val="0"/>
        </w:rPr>
      </w:pPr>
      <w:r>
        <w:rPr>
          <w:rFonts w:ascii="Times New Roman Bold"/>
          <w:rtl w:val="0"/>
          <w:lang w:val="nl-NL"/>
        </w:rPr>
        <w:t>Artikel 4.6 Opmetingen, ontgravingen, opbrekingen en onderzoekingen</w:t>
      </w:r>
    </w:p>
    <w:p>
      <w:pPr>
        <w:pStyle w:val="Standaard"/>
        <w:rPr>
          <w:rFonts w:ascii="Times New Roman Bold" w:cs="Times New Roman Bold" w:hAnsi="Times New Roman Bold" w:eastAsia="Times New Roman Bold"/>
          <w:rtl w:val="0"/>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wijzigingen van de Woningwet die in werkingtreden met het Bouwbesluit 2012 maken het niet meer mogelijk deze eis in de bouwverordening op te nemen.</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4.6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 xml:space="preserve">Artikel 4.7 Bemalen van bouwputten </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8.7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4.7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 xml:space="preserve">Artikel 4.8 Veiligheid op het bouwterrein </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Motivering</w:t>
      </w:r>
    </w:p>
    <w:p>
      <w:pPr>
        <w:pStyle w:val="Standaard"/>
        <w:rPr>
          <w:rtl w:val="0"/>
        </w:rPr>
      </w:pPr>
      <w:r>
        <w:rPr>
          <w:rFonts w:ascii="Times New Roman" w:cs="Arial Unicode MS" w:hAnsi="Arial Unicode MS" w:eastAsia="Arial Unicode MS"/>
          <w:rtl w:val="0"/>
          <w:lang w:val="nl-NL"/>
        </w:rPr>
        <w:t>Artikel 8.2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4.8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 xml:space="preserve">Artikel 4.9 Afscheiding van het bouwterrein </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8.2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4.9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 xml:space="preserve">Artikel 4.10 Veiligheid van hulpmiddelen en het voorkomen van hinder </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artikelen 8.2, 8.4, 8.5, 8.6 en 8.7 van het Bouwbesluit 2012 voorzien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4.10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 xml:space="preserve">Artikel 4.11 Bouwafval </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artikelen 8.8 en 8.9 van het Bouwbesluit 2012 voorzien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4.11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4.12 Gereedmelding van (onderdelen van) de bouwwerkzaamheden</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1.25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4.12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Fonts w:ascii="Times New Roman Bold" w:cs="Times New Roman Bold" w:hAnsi="Times New Roman Bold" w:eastAsia="Times New Roman Bold"/>
          <w:rtl w:val="0"/>
        </w:rPr>
      </w:pPr>
      <w:r>
        <w:rPr>
          <w:rFonts w:ascii="Times New Roman Bold"/>
          <w:rtl w:val="0"/>
          <w:lang w:val="nl-NL"/>
        </w:rPr>
        <w:t>Artikel 4.13 Melden van werken bij lage temperaturen</w:t>
      </w:r>
    </w:p>
    <w:p>
      <w:pPr>
        <w:pStyle w:val="Standaard"/>
        <w:rPr>
          <w:rFonts w:ascii="Times New Roman Bold" w:cs="Times New Roman Bold" w:hAnsi="Times New Roman Bold" w:eastAsia="Times New Roman Bold"/>
          <w:rtl w:val="0"/>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wijzigingen van de Woningwet die in werkingtreden met het Bouwbesluit 2012 maken het niet meer mogelijk deze eis in de bouwverordening op te nemen.</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4.13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4.14 Verbod tot ingebruikneming</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1.25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4.14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Kop 2"/>
        <w:rPr>
          <w:rFonts w:ascii="Times New Roman" w:cs="Times New Roman" w:hAnsi="Times New Roman" w:eastAsia="Times New Roman"/>
          <w:b w:val="1"/>
          <w:bCs w:val="1"/>
          <w:i w:val="1"/>
          <w:iCs w:val="1"/>
          <w:sz w:val="24"/>
          <w:szCs w:val="24"/>
        </w:rPr>
      </w:pPr>
      <w:r>
        <w:rPr>
          <w:rFonts w:ascii="Times New Roman"/>
          <w:b w:val="1"/>
          <w:bCs w:val="1"/>
          <w:i w:val="1"/>
          <w:iCs w:val="1"/>
          <w:sz w:val="24"/>
          <w:szCs w:val="24"/>
          <w:rtl w:val="0"/>
          <w:lang w:val="nl-NL"/>
        </w:rPr>
        <w:t>Hoofdstuk 5 Staat van open erven en terreinen, aansluiting op de nutsvoorzieningen en het weren van schadelijk en hinderlijk gedierte</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1 Staat van open erven en terreinen</w:t>
      </w:r>
    </w:p>
    <w:p>
      <w:pPr>
        <w:pStyle w:val="Kop 4"/>
        <w:rPr>
          <w:sz w:val="24"/>
          <w:szCs w:val="24"/>
        </w:rPr>
      </w:pPr>
      <w:r>
        <w:rPr>
          <w:rFonts w:ascii="Times New Roman Bold" w:cs="Arial Unicode MS" w:hAnsi="Arial Unicode MS" w:eastAsia="Arial Unicode MS"/>
          <w:sz w:val="24"/>
          <w:szCs w:val="24"/>
          <w:rtl w:val="0"/>
          <w:lang w:val="nl-NL"/>
        </w:rPr>
        <w:t xml:space="preserve">Artikel 5.1.1 Staat van onderhoud van open erven en terreinen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7.21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5.1.1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5.1.2 Bereikbaarheid van gebouwen voor wegverkeer. Brandblusvoorzieningen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artikelen 6.30, lid 1, 6.37 en 6.38, van het Bouwbesluit 2012 voorzien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5.1.2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5.1.3 Bereikbaarheid van gebouwen voor gehandicapten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6.49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5.1.3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3 Aansluiting op de nutsvoorzieningen</w:t>
      </w:r>
    </w:p>
    <w:p>
      <w:pPr>
        <w:pStyle w:val="Kop 4"/>
        <w:rPr>
          <w:sz w:val="24"/>
          <w:szCs w:val="24"/>
        </w:rPr>
      </w:pPr>
      <w:r>
        <w:rPr>
          <w:rFonts w:ascii="Times New Roman Bold" w:cs="Arial Unicode MS" w:hAnsi="Arial Unicode MS" w:eastAsia="Arial Unicode MS"/>
          <w:sz w:val="24"/>
          <w:szCs w:val="24"/>
          <w:rtl w:val="0"/>
          <w:lang w:val="nl-NL"/>
        </w:rPr>
        <w:t xml:space="preserve">Artikel 5.3.1 Eis tot aansluiting aan de waterleiding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6.14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5.3.1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5.3.2 Eis tot aansluiting aan het elektriciteitsnet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6.10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5.3.2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5.3.3 Eis tot aansluiting aan het aardgasnet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6.10, lid 2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5.3.3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5.3.4 Eis tot aansluiting aan de openbare riolering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6.18, lid 5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5.3.4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5.3.5 Aansluiting anders dan aan de openbare riolering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6.4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5.3.5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5.3.6 Kwaliteit en dimensionering van de buitenriolering op erven en terreinen</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6.18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5.3.6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5.3.7 Wijze van meten van de afstand tot de leidingen van het openbare net van de nutsvoorzieningen</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1.1, lid 1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5.3.7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4 Het weren van schadelijk of hinderlijk gedierte. Reinheid</w:t>
      </w:r>
    </w:p>
    <w:p>
      <w:pPr>
        <w:pStyle w:val="Kop 4"/>
        <w:rPr>
          <w:sz w:val="24"/>
          <w:szCs w:val="24"/>
        </w:rPr>
      </w:pPr>
      <w:r>
        <w:rPr>
          <w:rFonts w:ascii="Times New Roman Bold" w:cs="Arial Unicode MS" w:hAnsi="Arial Unicode MS" w:eastAsia="Arial Unicode MS"/>
          <w:sz w:val="24"/>
          <w:szCs w:val="24"/>
          <w:rtl w:val="0"/>
          <w:lang w:val="nl-NL"/>
        </w:rPr>
        <w:t xml:space="preserve">Artikel 5.4.1 Preventie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7.21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5.4.1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Kop 3"/>
        <w:rPr>
          <w:rFonts w:ascii="Times New Roman" w:cs="Times New Roman" w:hAnsi="Times New Roman" w:eastAsia="Times New Roman"/>
          <w:b w:val="1"/>
          <w:bCs w:val="1"/>
          <w:i w:val="1"/>
          <w:iCs w:val="1"/>
          <w:sz w:val="24"/>
          <w:szCs w:val="24"/>
        </w:rPr>
      </w:pPr>
      <w:r>
        <w:rPr>
          <w:rFonts w:ascii="Times New Roman"/>
          <w:b w:val="1"/>
          <w:bCs w:val="1"/>
          <w:i w:val="1"/>
          <w:iCs w:val="1"/>
          <w:sz w:val="24"/>
          <w:szCs w:val="24"/>
          <w:rtl w:val="0"/>
          <w:lang w:val="nl-NL"/>
        </w:rPr>
        <w:t>Hoofdstuk 7 Overige gebruiksbepalingen</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1 Overbevolking</w:t>
      </w:r>
    </w:p>
    <w:p>
      <w:pPr>
        <w:pStyle w:val="Kop 4"/>
        <w:rPr>
          <w:sz w:val="24"/>
          <w:szCs w:val="24"/>
        </w:rPr>
      </w:pPr>
      <w:r>
        <w:rPr>
          <w:rFonts w:ascii="Times New Roman Bold" w:cs="Arial Unicode MS" w:hAnsi="Arial Unicode MS" w:eastAsia="Arial Unicode MS"/>
          <w:sz w:val="24"/>
          <w:szCs w:val="24"/>
          <w:rtl w:val="0"/>
          <w:lang w:val="nl-NL"/>
        </w:rPr>
        <w:t xml:space="preserve">Artikel 7.1.1 Overbevolking van woningen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7.18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7.1.1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7.1.2 Overbevolking van woonwagens</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7.18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7.1.2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2 Staken van het gebruik</w:t>
      </w:r>
    </w:p>
    <w:p>
      <w:pPr>
        <w:pStyle w:val="Kop 4"/>
        <w:rPr>
          <w:sz w:val="24"/>
          <w:szCs w:val="24"/>
        </w:rPr>
      </w:pPr>
      <w:r>
        <w:rPr>
          <w:rFonts w:ascii="Times New Roman Bold" w:cs="Arial Unicode MS" w:hAnsi="Arial Unicode MS" w:eastAsia="Arial Unicode MS"/>
          <w:sz w:val="24"/>
          <w:szCs w:val="24"/>
          <w:rtl w:val="0"/>
          <w:lang w:val="nl-NL"/>
        </w:rPr>
        <w:t>Artikel 7.2.1 Verbod tot gebruik bij bouwvalligheid</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7.20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7.2.1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7.2.2 Staken van gebruik wegens gebrek aan veiligheid en gebrek aan hygi</w:t>
      </w:r>
      <w:r>
        <w:rPr>
          <w:rFonts w:ascii="Arial Unicode MS" w:cs="Arial Unicode MS" w:hAnsi="Times New Roman Bold" w:eastAsia="Arial Unicode MS" w:hint="default"/>
          <w:sz w:val="24"/>
          <w:szCs w:val="24"/>
          <w:rtl w:val="0"/>
          <w:lang w:val="nl-NL"/>
        </w:rPr>
        <w:t>ë</w:t>
      </w:r>
      <w:r>
        <w:rPr>
          <w:rFonts w:ascii="Times New Roman Bold" w:cs="Arial Unicode MS" w:hAnsi="Arial Unicode MS" w:eastAsia="Arial Unicode MS"/>
          <w:sz w:val="24"/>
          <w:szCs w:val="24"/>
          <w:rtl w:val="0"/>
          <w:lang w:val="nl-NL"/>
        </w:rPr>
        <w:t>ne</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7.21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7.2.2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3 Gebruik van bouwwerken, open erven en terreinen</w:t>
      </w:r>
    </w:p>
    <w:p>
      <w:pPr>
        <w:pStyle w:val="Kop 4"/>
        <w:rPr>
          <w:sz w:val="24"/>
          <w:szCs w:val="24"/>
        </w:rPr>
      </w:pPr>
      <w:r>
        <w:rPr>
          <w:rFonts w:ascii="Times New Roman Bold" w:cs="Arial Unicode MS" w:hAnsi="Arial Unicode MS" w:eastAsia="Arial Unicode MS"/>
          <w:sz w:val="24"/>
          <w:szCs w:val="24"/>
          <w:rtl w:val="0"/>
          <w:lang w:val="nl-NL"/>
        </w:rPr>
        <w:t xml:space="preserve">Artikel 7.3.2 Hinder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Artikelen 7.15,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7.3.2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4 Het weren van schadelijk of hinderlijk gedierte. Reinheid</w:t>
      </w:r>
    </w:p>
    <w:p>
      <w:pPr>
        <w:pStyle w:val="Kop 4"/>
        <w:rPr>
          <w:sz w:val="24"/>
          <w:szCs w:val="24"/>
        </w:rPr>
      </w:pPr>
      <w:r>
        <w:rPr>
          <w:rFonts w:ascii="Times New Roman Bold" w:cs="Arial Unicode MS" w:hAnsi="Arial Unicode MS" w:eastAsia="Arial Unicode MS"/>
          <w:sz w:val="24"/>
          <w:szCs w:val="24"/>
          <w:rtl w:val="0"/>
          <w:lang w:val="nl-NL"/>
        </w:rPr>
        <w:t xml:space="preserve">Artikel 7.4.1 Preventie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Artikelen 7.21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7.4.1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5 Watergebruik</w:t>
      </w:r>
    </w:p>
    <w:p>
      <w:pPr>
        <w:pStyle w:val="Kop 4"/>
        <w:rPr>
          <w:sz w:val="24"/>
          <w:szCs w:val="24"/>
        </w:rPr>
      </w:pPr>
      <w:r>
        <w:rPr>
          <w:rFonts w:ascii="Times New Roman Bold" w:cs="Arial Unicode MS" w:hAnsi="Arial Unicode MS" w:eastAsia="Arial Unicode MS"/>
          <w:sz w:val="24"/>
          <w:szCs w:val="24"/>
          <w:rtl w:val="0"/>
          <w:lang w:val="nl-NL"/>
        </w:rPr>
        <w:t xml:space="preserve">Artikel 7.5.1 Verboden gebruik van water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7.17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7.5.1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6 Installaties</w:t>
      </w:r>
    </w:p>
    <w:p>
      <w:pPr>
        <w:pStyle w:val="Kop 4"/>
        <w:rPr>
          <w:sz w:val="24"/>
          <w:szCs w:val="24"/>
        </w:rPr>
      </w:pPr>
      <w:r>
        <w:rPr>
          <w:rFonts w:ascii="Times New Roman Bold" w:cs="Arial Unicode MS" w:hAnsi="Arial Unicode MS" w:eastAsia="Arial Unicode MS"/>
          <w:sz w:val="24"/>
          <w:szCs w:val="24"/>
          <w:rtl w:val="0"/>
          <w:lang w:val="nl-NL"/>
        </w:rPr>
        <w:t xml:space="preserve">Artikel 7.6.1 Gebruiksgereed houden van installaties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1.16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7.6.1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Kop 2"/>
        <w:rPr>
          <w:rFonts w:ascii="Times New Roman" w:cs="Times New Roman" w:hAnsi="Times New Roman" w:eastAsia="Times New Roman"/>
          <w:b w:val="1"/>
          <w:bCs w:val="1"/>
          <w:i w:val="1"/>
          <w:iCs w:val="1"/>
          <w:sz w:val="24"/>
          <w:szCs w:val="24"/>
        </w:rPr>
      </w:pPr>
      <w:r>
        <w:rPr>
          <w:rFonts w:ascii="Times New Roman"/>
          <w:b w:val="1"/>
          <w:bCs w:val="1"/>
          <w:i w:val="1"/>
          <w:iCs w:val="1"/>
          <w:sz w:val="24"/>
          <w:szCs w:val="24"/>
          <w:rtl w:val="0"/>
          <w:lang w:val="nl-NL"/>
        </w:rPr>
        <w:t>Hoofdstuk 8 Slopen</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1 Omgevingsvergunning voor het slopen</w:t>
      </w:r>
    </w:p>
    <w:p>
      <w:pPr>
        <w:pStyle w:val="Kop 4"/>
        <w:rPr>
          <w:sz w:val="24"/>
          <w:szCs w:val="24"/>
        </w:rPr>
      </w:pPr>
      <w:r>
        <w:rPr>
          <w:rFonts w:ascii="Times New Roman Bold" w:cs="Arial Unicode MS" w:hAnsi="Arial Unicode MS" w:eastAsia="Arial Unicode MS"/>
          <w:sz w:val="24"/>
          <w:szCs w:val="24"/>
          <w:rtl w:val="0"/>
          <w:lang w:val="nl-NL"/>
        </w:rPr>
        <w:t xml:space="preserve">Artikel 8.1.1 Omgevingsvergunning voor het slopen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artikelen 1.25 en 1.26 van het Bouwbesluit 2012 voorzien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8.1.1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8.1.6 Weigeren omgevingsvergunning voor het slopen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1.26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8.1.6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8.1.7 Intrekken omgevingsvergunning voor het slopen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1.26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8.1.7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2 Uitzonderingen op het vereiste van een omgevingsvergunning voor het slopen</w:t>
      </w:r>
    </w:p>
    <w:p>
      <w:pPr>
        <w:pStyle w:val="Kop 4"/>
        <w:rPr>
          <w:sz w:val="24"/>
          <w:szCs w:val="24"/>
        </w:rPr>
      </w:pPr>
      <w:r>
        <w:rPr>
          <w:rFonts w:ascii="Times New Roman Bold" w:cs="Arial Unicode MS" w:hAnsi="Arial Unicode MS" w:eastAsia="Arial Unicode MS"/>
          <w:sz w:val="24"/>
          <w:szCs w:val="24"/>
          <w:rtl w:val="0"/>
          <w:lang w:val="nl-NL"/>
        </w:rPr>
        <w:t xml:space="preserve">Artikel 8.2.1 Sloopmelding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Paragraaf 1.7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8.2.1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 xml:space="preserve">Artikel 8.2.2 Overige uitzonderingen op het vereiste van een omgevingsvergunning voor het slopen </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1.26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8.2.2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3 Verplichtingen tijdens het slopen</w:t>
      </w:r>
    </w:p>
    <w:p>
      <w:pPr>
        <w:pStyle w:val="Kop 4"/>
        <w:rPr>
          <w:sz w:val="24"/>
          <w:szCs w:val="24"/>
        </w:rPr>
      </w:pPr>
      <w:r>
        <w:rPr>
          <w:rFonts w:ascii="Times New Roman Bold" w:cs="Arial Unicode MS" w:hAnsi="Arial Unicode MS" w:eastAsia="Arial Unicode MS"/>
          <w:sz w:val="24"/>
          <w:szCs w:val="24"/>
          <w:rtl w:val="0"/>
          <w:lang w:val="nl-NL"/>
        </w:rPr>
        <w:t>Artikel 8.3.1 Veiligheid op sloopterrein</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8.2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8.3.1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8.3.2 Op het sloopterrein verplicht aanwezige bescheiden</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1.32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8.3.2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8.3.3 Plichten van de houder van de omgevingsvergunning voor het slopen</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1.26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8.3.3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8.3.4 Plichten van degene die sloopt</w:t>
      </w:r>
    </w:p>
    <w:p>
      <w:pPr>
        <w:pStyle w:val="Standaard"/>
        <w:rPr>
          <w:sz w:val="24"/>
          <w:szCs w:val="24"/>
        </w:rPr>
      </w:pPr>
    </w:p>
    <w:p>
      <w:pPr>
        <w:pStyle w:val="Standaard"/>
        <w:rPr>
          <w:rtl w:val="0"/>
        </w:rPr>
      </w:pPr>
      <w:r>
        <w:rPr>
          <w:rFonts w:ascii="Times New Roman" w:cs="Arial Unicode MS" w:hAnsi="Arial Unicode MS" w:eastAsia="Arial Unicode MS"/>
          <w:rtl w:val="0"/>
          <w:lang w:val="nl-NL"/>
        </w:rPr>
        <w:t>A I Motivering</w:t>
      </w:r>
    </w:p>
    <w:p>
      <w:pPr>
        <w:pStyle w:val="Standaard"/>
        <w:rPr>
          <w:rtl w:val="0"/>
        </w:rPr>
      </w:pPr>
      <w:r>
        <w:rPr>
          <w:rFonts w:ascii="Times New Roman" w:cs="Arial Unicode MS" w:hAnsi="Arial Unicode MS" w:eastAsia="Arial Unicode MS"/>
          <w:rtl w:val="0"/>
          <w:lang w:val="nl-NL"/>
        </w:rPr>
        <w:t>Artikel 1.33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8.3.4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4"/>
        <w:rPr>
          <w:sz w:val="24"/>
          <w:szCs w:val="24"/>
        </w:rPr>
      </w:pPr>
      <w:r>
        <w:rPr>
          <w:rFonts w:ascii="Times New Roman Bold" w:cs="Arial Unicode MS" w:hAnsi="Arial Unicode MS" w:eastAsia="Arial Unicode MS"/>
          <w:sz w:val="24"/>
          <w:szCs w:val="24"/>
          <w:rtl w:val="0"/>
          <w:lang w:val="nl-NL"/>
        </w:rPr>
        <w:t>Artikel 8.3.5 Wijze van slopen, verpakken en opslaan van asbest</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wijzigingen van de Woningwet die in werkingtreden met het Bouwbesluit 2012 maken het niet meer mogelijk deze eis in de bouwverordening op te nemen.</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8.3.5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i w:val="1"/>
          <w:iCs w:val="1"/>
        </w:rPr>
      </w:pPr>
      <w:r>
        <w:rPr>
          <w:rFonts w:ascii="Times New Roman" w:cs="Arial Unicode MS" w:hAnsi="Arial Unicode MS" w:eastAsia="Arial Unicode MS"/>
          <w:i w:val="1"/>
          <w:iCs w:val="1"/>
          <w:rtl w:val="0"/>
          <w:lang w:val="nl-NL"/>
        </w:rPr>
        <w:t>Paragraaf 4 Vrij slopen</w:t>
      </w:r>
    </w:p>
    <w:p>
      <w:pPr>
        <w:pStyle w:val="Kop 4"/>
        <w:rPr>
          <w:sz w:val="24"/>
          <w:szCs w:val="24"/>
        </w:rPr>
      </w:pPr>
      <w:r>
        <w:rPr>
          <w:rFonts w:ascii="Times New Roman Bold" w:cs="Arial Unicode MS" w:hAnsi="Arial Unicode MS" w:eastAsia="Arial Unicode MS"/>
          <w:sz w:val="24"/>
          <w:szCs w:val="24"/>
          <w:rtl w:val="0"/>
          <w:lang w:val="nl-NL"/>
        </w:rPr>
        <w:t>Artikel 8.4.1 Sloopafval algemeen</w:t>
      </w:r>
    </w:p>
    <w:p>
      <w:pPr>
        <w:pStyle w:val="Standaard"/>
        <w:rPr>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artikelen 8.8 en 8.9 van het Bouwbesluit 2012 voorziet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8.4.1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tl w:val="0"/>
        </w:rPr>
      </w:pPr>
    </w:p>
    <w:p>
      <w:pPr>
        <w:pStyle w:val="Standaard"/>
        <w:rPr>
          <w:b w:val="1"/>
          <w:bCs w:val="1"/>
          <w:i w:val="1"/>
          <w:iCs w:val="1"/>
        </w:rPr>
      </w:pPr>
      <w:r>
        <w:rPr>
          <w:rFonts w:ascii="Times New Roman" w:cs="Arial Unicode MS" w:hAnsi="Arial Unicode MS" w:eastAsia="Arial Unicode MS"/>
          <w:b w:val="1"/>
          <w:bCs w:val="1"/>
          <w:i w:val="1"/>
          <w:iCs w:val="1"/>
          <w:rtl w:val="0"/>
          <w:lang w:val="nl-NL"/>
        </w:rPr>
        <w:t>Hoofdstuk 9 Welstand</w:t>
      </w:r>
    </w:p>
    <w:p>
      <w:pPr>
        <w:pStyle w:val="Kop 4"/>
        <w:rPr>
          <w:sz w:val="24"/>
          <w:szCs w:val="24"/>
        </w:rPr>
      </w:pPr>
      <w:r>
        <w:rPr>
          <w:rFonts w:ascii="Times New Roman Bold" w:cs="Arial Unicode MS" w:hAnsi="Arial Unicode MS" w:eastAsia="Arial Unicode MS"/>
          <w:sz w:val="24"/>
          <w:szCs w:val="24"/>
          <w:rtl w:val="0"/>
          <w:lang w:val="nl-NL"/>
        </w:rPr>
        <w:t>Artikel 9.3 Benoeming en zittingsduur</w:t>
      </w:r>
    </w:p>
    <w:p>
      <w:pPr>
        <w:pStyle w:val="Standaard"/>
        <w:rPr>
          <w:rFonts w:ascii="Times New Roman Bold" w:cs="Times New Roman Bold" w:hAnsi="Times New Roman Bold" w:eastAsia="Times New Roman Bold"/>
          <w:color w:val="000000"/>
          <w:u w:color="000000"/>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1, lid 1 sub n c.q. sub o van de Woningwet voorziet al in het bepaalde in artikel 9.3, lid 1.</w:t>
      </w:r>
    </w:p>
    <w:p>
      <w:pPr>
        <w:pStyle w:val="Standaard"/>
        <w:rPr>
          <w:rtl w:val="0"/>
        </w:rPr>
      </w:pPr>
      <w:r>
        <w:rPr>
          <w:rFonts w:ascii="Times New Roman" w:cs="Arial Unicode MS" w:hAnsi="Arial Unicode MS" w:eastAsia="Arial Unicode MS"/>
          <w:rtl w:val="0"/>
          <w:lang w:val="nl-NL"/>
        </w:rPr>
        <w:t>Artikel 12b lid 4 regelt het bepaalde van artikel 9.3, lid 2.</w:t>
      </w:r>
    </w:p>
    <w:p>
      <w:pPr>
        <w:pStyle w:val="Standaard"/>
        <w:rPr>
          <w:rtl w:val="0"/>
        </w:rPr>
      </w:pPr>
      <w:r>
        <w:rPr>
          <w:rFonts w:ascii="Times New Roman" w:cs="Arial Unicode MS" w:hAnsi="Arial Unicode MS" w:eastAsia="Arial Unicode MS"/>
          <w:rtl w:val="0"/>
          <w:lang w:val="nl-NL"/>
        </w:rPr>
        <w:t>De inhoud van het door de raad vastgestelde reglement van orde kan per gemeente verschillen, de door de raad vastgestelde bepaling in artikel 9.3, lid 3 over de inhoud is daarmee overbodig.</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9.3wordt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Fonts w:ascii="Times New Roman Bold" w:cs="Times New Roman Bold" w:hAnsi="Times New Roman Bold" w:eastAsia="Times New Roman Bold"/>
        </w:rPr>
      </w:pPr>
      <w:r>
        <w:rPr>
          <w:rFonts w:ascii="Times New Roman Bold"/>
          <w:rtl w:val="0"/>
          <w:lang w:val="nl-NL"/>
        </w:rPr>
        <w:t>Artikel 9.6 Openbaarheid van vergaderen en mondelinge toelichting</w:t>
      </w:r>
    </w:p>
    <w:p>
      <w:pPr>
        <w:pStyle w:val="Standaard"/>
        <w:rPr>
          <w:rFonts w:ascii="Times New Roman Bold" w:cs="Times New Roman Bold" w:hAnsi="Times New Roman Bold" w:eastAsia="Times New Roman Bold"/>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materi</w:t>
      </w:r>
      <w:r>
        <w:rPr>
          <w:rFonts w:ascii="Arial Unicode MS" w:cs="Arial Unicode MS" w:hAnsi="Times New Roman" w:eastAsia="Arial Unicode MS" w:hint="default"/>
          <w:rtl w:val="0"/>
          <w:lang w:val="nl-NL"/>
        </w:rPr>
        <w:t>ë</w:t>
      </w:r>
      <w:r>
        <w:rPr>
          <w:rFonts w:ascii="Times New Roman" w:cs="Arial Unicode MS" w:hAnsi="Arial Unicode MS" w:eastAsia="Arial Unicode MS"/>
          <w:rtl w:val="0"/>
          <w:lang w:val="nl-NL"/>
        </w:rPr>
        <w:t>le inhoud van artikel 9.7 lid 3 wordt opgenomen in lid 1 van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Aan de eerste zin van het eerste lid wordt achter de woorden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van bouwplannen door</w:t>
      </w:r>
      <w:r>
        <w:rPr>
          <w:rFonts w:ascii="Arial Unicode MS" w:cs="Arial Unicode MS" w:hAnsi="Times New Roman" w:eastAsia="Arial Unicode MS" w:hint="default"/>
          <w:rtl w:val="0"/>
          <w:lang w:val="nl-NL"/>
        </w:rPr>
        <w:t xml:space="preserve">’ </w:t>
      </w:r>
      <w:r>
        <w:rPr>
          <w:rFonts w:ascii="Times New Roman" w:cs="Arial Unicode MS" w:hAnsi="Arial Unicode MS" w:eastAsia="Arial Unicode MS"/>
          <w:rtl w:val="0"/>
          <w:lang w:val="nl-NL"/>
        </w:rPr>
        <w:t xml:space="preserve">toegevoegd: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of onder verantwoordelijkheid van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Fonts w:ascii="Times New Roman Bold" w:cs="Times New Roman Bold" w:hAnsi="Times New Roman Bold" w:eastAsia="Times New Roman Bold"/>
        </w:rPr>
      </w:pPr>
      <w:r>
        <w:rPr>
          <w:rFonts w:ascii="Times New Roman Bold"/>
          <w:rtl w:val="0"/>
          <w:lang w:val="nl-NL"/>
        </w:rPr>
        <w:t>Artikel 9.7 Afdoening bij mandaat</w:t>
      </w:r>
    </w:p>
    <w:p>
      <w:pPr>
        <w:pStyle w:val="Standaard"/>
        <w:rPr>
          <w:rFonts w:ascii="Times New Roman Bold" w:cs="Times New Roman Bold" w:hAnsi="Times New Roman Bold" w:eastAsia="Times New Roman Bold"/>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materi</w:t>
      </w:r>
      <w:r>
        <w:rPr>
          <w:rFonts w:ascii="Arial Unicode MS" w:cs="Arial Unicode MS" w:hAnsi="Times New Roman" w:eastAsia="Arial Unicode MS" w:hint="default"/>
          <w:rtl w:val="0"/>
          <w:lang w:val="nl-NL"/>
        </w:rPr>
        <w:t>ë</w:t>
      </w:r>
      <w:r>
        <w:rPr>
          <w:rFonts w:ascii="Times New Roman" w:cs="Arial Unicode MS" w:hAnsi="Arial Unicode MS" w:eastAsia="Arial Unicode MS"/>
          <w:rtl w:val="0"/>
          <w:lang w:val="nl-NL"/>
        </w:rPr>
        <w:t>le kant van het derde lid is opgenomen in het eerste lid van artikel 9.6.</w:t>
      </w:r>
    </w:p>
    <w:p>
      <w:pPr>
        <w:pStyle w:val="Standaard"/>
      </w:pPr>
      <w:r>
        <w:rPr>
          <w:rFonts w:ascii="Times New Roman" w:cs="Arial Unicode MS" w:hAnsi="Arial Unicode MS" w:eastAsia="Arial Unicode MS"/>
          <w:rtl w:val="0"/>
          <w:lang w:val="nl-NL"/>
        </w:rPr>
        <w:t xml:space="preserve">Met de inwerkingtreding van de Wabo zijn artikel 48 Woningwet en het Besluit bouwvergunningvrij en licht-bouwvergunningplichtige bouwwerken komen te vervallen. Onder de Wabo is een bouwwerk omgevingsvergunningplichtig of vergunningvrij; een tussencategorie bestaat niet meer. Dit betekent dat iedere aanvraag voor een omgevingsvergunningsplichtig bouwwerk door het college ter advisering aan de welstandscommissie moet worden voorgelegd. </w:t>
      </w:r>
    </w:p>
    <w:p>
      <w:pPr>
        <w:pStyle w:val="Standaard"/>
      </w:pPr>
      <w:r>
        <w:rPr>
          <w:rFonts w:ascii="Times New Roman" w:cs="Arial Unicode MS" w:hAnsi="Arial Unicode MS" w:eastAsia="Arial Unicode MS"/>
          <w:rtl w:val="0"/>
          <w:lang w:val="nl-NL"/>
        </w:rPr>
        <w:t>Dit betekent ook dat het college geen ambtenaar (meer) kan mandateren om te toetsen aan zgn. loketcriteria.</w:t>
      </w:r>
    </w:p>
    <w:p>
      <w:pPr>
        <w:pStyle w:val="Standaard"/>
      </w:pPr>
    </w:p>
    <w:p>
      <w:pPr>
        <w:pStyle w:val="Standaard"/>
        <w:rPr>
          <w:rtl w:val="0"/>
        </w:rPr>
      </w:pPr>
      <w:r>
        <w:rPr>
          <w:rFonts w:ascii="Times New Roman" w:cs="Arial Unicode MS" w:hAnsi="Arial Unicode MS" w:eastAsia="Arial Unicode MS"/>
          <w:rtl w:val="0"/>
          <w:lang w:val="nl-NL"/>
        </w:rPr>
        <w:t>II Wijziging van de verordening</w:t>
      </w:r>
    </w:p>
    <w:p>
      <w:pPr>
        <w:pStyle w:val="Standaard"/>
        <w:rPr>
          <w:rtl w:val="0"/>
        </w:rPr>
      </w:pPr>
      <w:r>
        <w:rPr>
          <w:rFonts w:ascii="Times New Roman" w:cs="Arial Unicode MS" w:hAnsi="Arial Unicode MS" w:eastAsia="Arial Unicode MS"/>
          <w:rtl w:val="0"/>
          <w:lang w:val="nl-NL"/>
        </w:rPr>
        <w:t>Artikel 9.7 wordt in zijn geheel vervangen door:</w:t>
      </w:r>
    </w:p>
    <w:p>
      <w:pPr>
        <w:pStyle w:val="Standaard"/>
        <w:rPr>
          <w:rFonts w:ascii="Times New Roman Bold" w:cs="Times New Roman Bold" w:hAnsi="Times New Roman Bold" w:eastAsia="Times New Roman Bold"/>
          <w:rtl w:val="0"/>
        </w:rPr>
      </w:pPr>
      <w:r>
        <w:rPr>
          <w:rFonts w:ascii="Arial Unicode MS" w:cs="Arial Unicode MS" w:hAnsi="Times New Roman" w:eastAsia="Arial Unicode MS" w:hint="default"/>
          <w:rtl w:val="0"/>
          <w:lang w:val="nl-NL"/>
        </w:rPr>
        <w:t>‘</w:t>
      </w:r>
      <w:r>
        <w:rPr>
          <w:rFonts w:ascii="Times New Roman Bold"/>
          <w:rtl w:val="0"/>
          <w:lang w:val="nl-NL"/>
        </w:rPr>
        <w:t>Artikel 9.7 Afdoening onder verantwoordelijkheid</w:t>
      </w:r>
    </w:p>
    <w:p>
      <w:pPr>
        <w:pStyle w:val="Standaard"/>
        <w:spacing w:before="100" w:after="100"/>
        <w:rPr>
          <w:color w:val="ffffff"/>
          <w:u w:color="ffffff"/>
        </w:rPr>
      </w:pPr>
      <w:r>
        <w:rPr>
          <w:color w:val="000000"/>
          <w:u w:color="000000"/>
          <w:rtl w:val="0"/>
          <w:lang w:val="nl-NL"/>
        </w:rPr>
        <w:t xml:space="preserve">1. De welstandscommissie kan de advisering over een aanvraag om advies, in afwijking van artikel 9.2, onder verantwoordelijkheid van de commissie overlaten aan een of meerdere daartoe aangewezen leden. Het aangewezen lid of de aangewezen leden adviseren over bouwplannen waarvan volgens hen het oordeel van de welstandscommissie als bekend mag worden verondersteld. </w:t>
      </w:r>
    </w:p>
    <w:p>
      <w:pPr>
        <w:pStyle w:val="Standaard"/>
        <w:rPr>
          <w:color w:val="ffffff"/>
          <w:u w:color="ffffff"/>
          <w:rtl w:val="0"/>
        </w:rPr>
      </w:pPr>
      <w:r>
        <w:rPr>
          <w:rFonts w:ascii="Times New Roman" w:cs="Arial Unicode MS" w:hAnsi="Arial Unicode MS" w:eastAsia="Arial Unicode MS"/>
          <w:color w:val="000000"/>
          <w:u w:color="000000"/>
          <w:rtl w:val="0"/>
          <w:lang w:val="nl-NL"/>
        </w:rPr>
        <w:t>2. In geval van twijfel wordt het bouwplan alsnog voorgelegd aan de welstandscommissie.</w:t>
      </w:r>
      <w:r>
        <w:rPr>
          <w:rFonts w:ascii="Arial Unicode MS" w:cs="Arial Unicode MS" w:hAnsi="Times New Roman" w:eastAsia="Arial Unicode MS" w:hint="default"/>
          <w:color w:val="000000"/>
          <w:u w:color="000000"/>
          <w:rtl w:val="0"/>
          <w:lang w:val="nl-NL"/>
        </w:rPr>
        <w:t>’</w:t>
      </w:r>
      <w:r>
        <w:rPr>
          <w:rFonts w:ascii="Times New Roman" w:cs="Arial Unicode MS" w:hAnsi="Arial Unicode MS" w:eastAsia="Arial Unicode MS"/>
          <w:color w:val="ffffff"/>
          <w:u w:color="ffffff"/>
          <w:rtl w:val="0"/>
          <w:lang w:val="nl-NL"/>
        </w:rPr>
        <w:t xml:space="preserve"> </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9.9 Uitsluiting van gebieden en categorie</w:t>
      </w:r>
      <w:r>
        <w:rPr>
          <w:rFonts w:ascii="Arial Unicode MS" w:cs="Arial Unicode MS" w:hAnsi="Arial Bold" w:eastAsia="Arial Unicode MS" w:hint="default"/>
          <w:sz w:val="24"/>
          <w:szCs w:val="24"/>
          <w:rtl w:val="0"/>
          <w:lang w:val="nl-NL"/>
        </w:rPr>
        <w:t>ë</w:t>
      </w:r>
      <w:r>
        <w:rPr>
          <w:rFonts w:ascii="Times New Roman Bold"/>
          <w:sz w:val="24"/>
          <w:szCs w:val="24"/>
          <w:rtl w:val="0"/>
          <w:lang w:val="nl-NL"/>
        </w:rPr>
        <w:t xml:space="preserve">n bouwwerken </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Het bepaalde van artikel 12, lid 4 Woningwet voorziet al in het bepaalde van artikel 9.9.</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9.9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tl w:val="0"/>
        </w:rPr>
      </w:pPr>
    </w:p>
    <w:p>
      <w:pPr>
        <w:pStyle w:val="Standaard"/>
        <w:rPr>
          <w:rFonts w:ascii="Times New Roman Bold" w:cs="Times New Roman Bold" w:hAnsi="Times New Roman Bold" w:eastAsia="Times New Roman Bold"/>
        </w:rPr>
      </w:pPr>
      <w:r>
        <w:rPr>
          <w:rFonts w:ascii="Times New Roman" w:cs="Arial Unicode MS" w:hAnsi="Arial Unicode MS" w:eastAsia="Arial Unicode MS"/>
          <w:b w:val="1"/>
          <w:bCs w:val="1"/>
          <w:i w:val="1"/>
          <w:iCs w:val="1"/>
          <w:rtl w:val="0"/>
          <w:lang w:val="nl-NL"/>
        </w:rPr>
        <w:t>Hoofdstuk 12. Straf-, overgangs- en slotbepalingen</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12.2 Overgangsbepaling bodemonderzoek</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Het gaat hier om oud en niet meer van toepassing zijnde overgangsrecht van de modelverordening 1965 naar de modelverordening 1992.</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12.2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Bold" w:cs="Times New Roman Bold" w:hAnsi="Times New Roman Bold" w:eastAsia="Times New Roman Bold"/>
          <w:sz w:val="24"/>
          <w:szCs w:val="24"/>
        </w:rPr>
      </w:pPr>
      <w:r>
        <w:rPr>
          <w:rFonts w:ascii="Times New Roman Bold"/>
          <w:sz w:val="24"/>
          <w:szCs w:val="24"/>
          <w:rtl w:val="0"/>
          <w:lang w:val="nl-NL"/>
        </w:rPr>
        <w:t>Artikel 12.3 Overgangsbepaling met betrekking tot de staat van open erven en terreinen</w:t>
      </w:r>
    </w:p>
    <w:p>
      <w:pPr>
        <w:pStyle w:val="Standaard"/>
        <w:rPr>
          <w:rFonts w:ascii="Times New Roman Bold" w:cs="Times New Roman Bold" w:hAnsi="Times New Roman Bold" w:eastAsia="Times New Roman Bold"/>
          <w:sz w:val="24"/>
          <w:szCs w:val="24"/>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De afdelingen 6.8 en 6.10 van het Bouwbesluit 2012 voorzien in dit artikel.</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artikel 12.3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Kop 3"/>
        <w:rPr>
          <w:rFonts w:ascii="Times New Roman" w:cs="Times New Roman" w:hAnsi="Times New Roman" w:eastAsia="Times New Roman"/>
          <w:i w:val="1"/>
          <w:iCs w:val="1"/>
          <w:sz w:val="24"/>
          <w:szCs w:val="24"/>
        </w:rPr>
      </w:pPr>
      <w:r>
        <w:rPr>
          <w:rFonts w:ascii="Times New Roman Bold"/>
          <w:sz w:val="24"/>
          <w:szCs w:val="24"/>
          <w:rtl w:val="0"/>
          <w:lang w:val="nl-NL"/>
        </w:rPr>
        <w:t xml:space="preserve">Artikel 12.6 Slotbepaling </w:t>
      </w:r>
      <w:r>
        <w:rPr>
          <w:rFonts w:ascii="Times New Roman"/>
          <w:i w:val="1"/>
          <w:iCs w:val="1"/>
          <w:sz w:val="24"/>
          <w:szCs w:val="24"/>
          <w:rtl w:val="0"/>
          <w:lang w:val="nl-NL"/>
        </w:rPr>
        <w:t>Alternatief 2 (gefaseerde inwerkingtreding)</w:t>
      </w:r>
    </w:p>
    <w:p>
      <w:pPr>
        <w:pStyle w:val="Standaard"/>
        <w:rPr>
          <w:i w:val="1"/>
          <w:iCs w:val="1"/>
          <w:sz w:val="24"/>
          <w:szCs w:val="24"/>
        </w:rPr>
      </w:pPr>
    </w:p>
    <w:p>
      <w:pPr>
        <w:pStyle w:val="Normaal (web)"/>
        <w:spacing w:before="0" w:after="0"/>
        <w:rPr>
          <w:rtl w:val="0"/>
        </w:rPr>
      </w:pPr>
      <w:r>
        <w:rPr>
          <w:rtl w:val="0"/>
          <w:lang w:val="nl-NL"/>
        </w:rPr>
        <w:t>I Motivering</w:t>
      </w:r>
    </w:p>
    <w:p>
      <w:pPr>
        <w:pStyle w:val="Normaal (web)"/>
        <w:spacing w:before="0" w:after="0"/>
        <w:rPr>
          <w:rtl w:val="0"/>
        </w:rPr>
      </w:pPr>
      <w:r>
        <w:rPr>
          <w:rtl w:val="0"/>
          <w:lang w:val="nl-NL"/>
        </w:rPr>
        <w:t>Het vervallen van de tekst volgt uit het vervallen van de in de tekst genoemde artikelen.</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achter het tweede en derde aandachtstreepje van lid 1 van alternatief 2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Fonts w:ascii="Times New Roman Bold" w:cs="Times New Roman Bold" w:hAnsi="Times New Roman Bold" w:eastAsia="Times New Roman Bold"/>
        </w:rPr>
      </w:pPr>
      <w:r>
        <w:rPr>
          <w:rFonts w:ascii="Times New Roman" w:cs="Arial Unicode MS" w:hAnsi="Arial Unicode MS" w:eastAsia="Arial Unicode MS"/>
          <w:b w:val="1"/>
          <w:bCs w:val="1"/>
          <w:i w:val="1"/>
          <w:iCs w:val="1"/>
          <w:rtl w:val="0"/>
          <w:lang w:val="nl-NL"/>
        </w:rPr>
        <w:t xml:space="preserve">Bijlage 7 </w:t>
      </w:r>
      <w:r>
        <w:rPr>
          <w:rFonts w:ascii="Times New Roman Bold"/>
          <w:rtl w:val="0"/>
          <w:lang w:val="nl-NL"/>
        </w:rPr>
        <w:t>Kwaliteitseisen voor buizen en hulpstukken van de buitenriolering op erven en terreinen</w:t>
      </w:r>
    </w:p>
    <w:p>
      <w:pPr>
        <w:pStyle w:val="Standaard"/>
        <w:rPr>
          <w:rFonts w:ascii="Times New Roman Bold" w:cs="Times New Roman Bold" w:hAnsi="Times New Roman Bold" w:eastAsia="Times New Roman Bold"/>
        </w:rPr>
      </w:pPr>
    </w:p>
    <w:p>
      <w:pPr>
        <w:pStyle w:val="Standaard"/>
        <w:rPr>
          <w:rtl w:val="0"/>
        </w:rPr>
      </w:pPr>
      <w:r>
        <w:rPr>
          <w:rFonts w:ascii="Times New Roman" w:cs="Arial Unicode MS" w:hAnsi="Arial Unicode MS" w:eastAsia="Arial Unicode MS"/>
          <w:rtl w:val="0"/>
          <w:lang w:val="nl-NL"/>
        </w:rPr>
        <w:t>I Motivering</w:t>
      </w:r>
    </w:p>
    <w:p>
      <w:pPr>
        <w:pStyle w:val="Standaard"/>
        <w:rPr>
          <w:rtl w:val="0"/>
        </w:rPr>
      </w:pPr>
      <w:r>
        <w:rPr>
          <w:rFonts w:ascii="Times New Roman" w:cs="Arial Unicode MS" w:hAnsi="Arial Unicode MS" w:eastAsia="Arial Unicode MS"/>
          <w:rtl w:val="0"/>
          <w:lang w:val="nl-NL"/>
        </w:rPr>
        <w:t>Artikel 2.7.6 vervalt en daarmee deze bijlage.</w:t>
      </w:r>
    </w:p>
    <w:p>
      <w:pPr>
        <w:pStyle w:val="Standaard"/>
        <w:rPr>
          <w:rtl w:val="0"/>
        </w:rPr>
      </w:pPr>
    </w:p>
    <w:p>
      <w:pPr>
        <w:pStyle w:val="Standaard"/>
        <w:rPr>
          <w:rtl w:val="0"/>
        </w:rPr>
      </w:pPr>
      <w:r>
        <w:rPr>
          <w:rFonts w:ascii="Times New Roman" w:cs="Arial Unicode MS" w:hAnsi="Arial Unicode MS" w:eastAsia="Arial Unicode MS"/>
          <w:rtl w:val="0"/>
          <w:lang w:val="nl-NL"/>
        </w:rPr>
        <w:t>II Wijziging van de bouwverordening</w:t>
      </w:r>
    </w:p>
    <w:p>
      <w:pPr>
        <w:pStyle w:val="Standaard"/>
        <w:rPr>
          <w:rtl w:val="0"/>
        </w:rPr>
      </w:pPr>
      <w:r>
        <w:rPr>
          <w:rFonts w:ascii="Times New Roman" w:cs="Arial Unicode MS" w:hAnsi="Arial Unicode MS" w:eastAsia="Arial Unicode MS"/>
          <w:rtl w:val="0"/>
          <w:lang w:val="nl-NL"/>
        </w:rPr>
        <w:t xml:space="preserve">De tekst van bijlage 7 wordt vervangen door: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(vervallen)</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sz w:val="28"/>
          <w:szCs w:val="28"/>
        </w:rPr>
      </w:pPr>
      <w:r>
        <w:rPr>
          <w:rFonts w:ascii="Times New Roman Bold"/>
          <w:sz w:val="28"/>
          <w:szCs w:val="28"/>
          <w:rtl w:val="0"/>
          <w:lang w:val="nl-NL"/>
        </w:rPr>
        <w:t>Artikel B Overgangsbepalingen **</w:t>
      </w:r>
    </w:p>
    <w:p>
      <w:pPr>
        <w:pStyle w:val="Standaard"/>
        <w:rPr>
          <w:rtl w:val="0"/>
        </w:rPr>
      </w:pPr>
      <w:r>
        <w:rPr>
          <w:rFonts w:ascii="Times New Roman" w:cs="Arial Unicode MS" w:hAnsi="Arial Unicode MS" w:eastAsia="Arial Unicode MS"/>
          <w:rtl w:val="0"/>
          <w:lang w:val="nl-NL"/>
        </w:rPr>
        <w:t>Op een aanvraag om bouwvergunning, ontheffing of toestemming of een aanvraag om omgevingsvergunning, die is ingediend v</w:t>
      </w:r>
      <w:r>
        <w:rPr>
          <w:rFonts w:ascii="Arial Unicode MS" w:cs="Arial Unicode MS" w:hAnsi="Times New Roman" w:eastAsia="Arial Unicode MS" w:hint="default"/>
          <w:rtl w:val="0"/>
          <w:lang w:val="nl-NL"/>
        </w:rPr>
        <w:t>óó</w:t>
      </w:r>
      <w:r>
        <w:rPr>
          <w:rFonts w:ascii="Times New Roman" w:cs="Arial Unicode MS" w:hAnsi="Arial Unicode MS" w:eastAsia="Arial Unicode MS"/>
          <w:rtl w:val="0"/>
          <w:lang w:val="nl-NL"/>
        </w:rPr>
        <w:t xml:space="preserve">r </w:t>
      </w:r>
      <w:r>
        <w:rPr>
          <w:rFonts w:ascii="Times New Roman Bold"/>
          <w:rtl w:val="0"/>
          <w:lang w:val="nl-NL"/>
        </w:rPr>
        <w:t>1 april 2012</w:t>
      </w:r>
      <w:r>
        <w:rPr>
          <w:rFonts w:ascii="Times New Roman" w:cs="Arial Unicode MS" w:hAnsi="Arial Unicode MS" w:eastAsia="Arial Unicode MS"/>
          <w:rtl w:val="0"/>
          <w:lang w:val="nl-NL"/>
        </w:rPr>
        <w:t xml:space="preserve"> en waarop op dit tijdstip nog niet is beschikt, zijn de bepalingen van de bouwverordening van toepassing, zoals die luidden voor deze wijziging, tenzij de aanvrager aangeeft dat de gewijzigde bepalingen worden toegepast.</w:t>
      </w:r>
    </w:p>
    <w:p>
      <w:pPr>
        <w:pStyle w:val="Standaard"/>
        <w:rPr>
          <w:rtl w:val="0"/>
        </w:rPr>
      </w:pPr>
    </w:p>
    <w:p>
      <w:pPr>
        <w:pStyle w:val="Standaard"/>
        <w:rPr>
          <w:sz w:val="28"/>
          <w:szCs w:val="28"/>
        </w:rPr>
      </w:pPr>
      <w:r>
        <w:rPr>
          <w:rFonts w:ascii="Times New Roman Bold"/>
          <w:sz w:val="28"/>
          <w:szCs w:val="28"/>
          <w:rtl w:val="0"/>
          <w:lang w:val="nl-NL"/>
        </w:rPr>
        <w:t xml:space="preserve">Artikel C Inwerkingtreding  </w:t>
      </w:r>
    </w:p>
    <w:p>
      <w:pPr>
        <w:pStyle w:val="Standaard"/>
        <w:rPr>
          <w:rtl w:val="0"/>
        </w:rPr>
      </w:pPr>
      <w:r>
        <w:rPr>
          <w:rFonts w:ascii="Times New Roman" w:cs="Arial Unicode MS" w:hAnsi="Arial Unicode MS" w:eastAsia="Arial Unicode MS"/>
          <w:rtl w:val="0"/>
          <w:lang w:val="nl-NL"/>
        </w:rPr>
        <w:t>Deze wijzigingen treden in werking op moment van inwerkingtreding van het Bouwbesluit 2012.</w:t>
      </w:r>
    </w:p>
    <w:p>
      <w:pPr>
        <w:pStyle w:val="Standaard"/>
        <w:rPr>
          <w:rtl w:val="0"/>
        </w:rPr>
      </w:pPr>
    </w:p>
    <w:p>
      <w:pPr>
        <w:pStyle w:val="Standaard"/>
        <w:rPr>
          <w:rtl w:val="0"/>
        </w:rPr>
      </w:pPr>
      <w:r>
        <w:rPr>
          <w:rFonts w:ascii="Times New Roman" w:cs="Arial Unicode MS" w:hAnsi="Arial Unicode MS" w:eastAsia="Arial Unicode MS"/>
          <w:rtl w:val="0"/>
          <w:lang w:val="nl-NL"/>
        </w:rPr>
        <w:t xml:space="preserve">Aldus vastgesteld in de openbare raadsvergadering van </w:t>
      </w:r>
      <w:r>
        <w:rPr>
          <w:rFonts w:ascii="Arial Unicode MS" w:cs="Arial Unicode MS" w:hAnsi="Times New Roman" w:eastAsia="Arial Unicode MS" w:hint="default"/>
          <w:rtl w:val="0"/>
          <w:lang w:val="nl-NL"/>
        </w:rPr>
        <w:t>…</w:t>
      </w:r>
      <w:r>
        <w:rPr>
          <w:rFonts w:ascii="Times New Roman" w:cs="Arial Unicode MS" w:hAnsi="Arial Unicode MS" w:eastAsia="Arial Unicode MS"/>
          <w:rtl w:val="0"/>
          <w:lang w:val="nl-NL"/>
        </w:rPr>
        <w:t>..</w:t>
      </w:r>
    </w:p>
    <w:p>
      <w:pPr>
        <w:pStyle w:val="Standaard"/>
        <w:rPr>
          <w:rtl w:val="0"/>
        </w:rPr>
      </w:pPr>
    </w:p>
    <w:p>
      <w:pPr>
        <w:pStyle w:val="Standaard"/>
        <w:rPr>
          <w:rtl w:val="0"/>
        </w:rPr>
      </w:pPr>
      <w:r>
        <w:rPr>
          <w:rFonts w:ascii="Times New Roman" w:cs="Arial Unicode MS" w:hAnsi="Arial Unicode MS" w:eastAsia="Arial Unicode MS"/>
          <w:rtl w:val="0"/>
          <w:lang w:val="nl-NL"/>
        </w:rPr>
        <w:t>De voorzitter,</w:t>
        <w:tab/>
        <w:tab/>
        <w:tab/>
        <w:tab/>
        <w:tab/>
        <w:tab/>
        <w:tab/>
        <w:t>De griffier,</w:t>
      </w:r>
    </w:p>
    <w:p>
      <w:pPr>
        <w:pStyle w:val="Standaard"/>
        <w:rPr>
          <w:rtl w:val="0"/>
        </w:rPr>
      </w:pPr>
    </w:p>
    <w:p>
      <w:pPr>
        <w:pStyle w:val="Standaard"/>
        <w:rPr>
          <w:rtl w:val="0"/>
        </w:rPr>
      </w:pPr>
    </w:p>
    <w:p>
      <w:pPr>
        <w:pStyle w:val="Standaard"/>
        <w:rPr>
          <w:rFonts w:ascii="Times New Roman Bold" w:cs="Times New Roman Bold" w:hAnsi="Times New Roman Bold" w:eastAsia="Times New Roman Bold"/>
        </w:rPr>
      </w:pPr>
      <w:r>
        <w:rPr>
          <w:rFonts w:ascii="Times New Roman Bold"/>
          <w:rtl w:val="0"/>
          <w:lang w:val="nl-NL"/>
        </w:rPr>
        <w:t xml:space="preserve">* Ingangsdatum gewijzigd in 1 april 2012 (op 13 december 2011) </w:t>
      </w:r>
    </w:p>
    <w:p>
      <w:pPr>
        <w:pStyle w:val="Standaard"/>
        <w:rPr>
          <w:rFonts w:ascii="Times New Roman Bold" w:cs="Times New Roman Bold" w:hAnsi="Times New Roman Bold" w:eastAsia="Times New Roman Bold"/>
        </w:rPr>
      </w:pPr>
    </w:p>
    <w:p>
      <w:pPr>
        <w:pStyle w:val="Standaard"/>
        <w:rPr>
          <w:rFonts w:ascii="Times New Roman Bold" w:cs="Times New Roman Bold" w:hAnsi="Times New Roman Bold" w:eastAsia="Times New Roman Bold"/>
        </w:rPr>
      </w:pPr>
      <w:r>
        <w:rPr>
          <w:rFonts w:ascii="Times New Roman Bold"/>
          <w:rtl w:val="0"/>
          <w:lang w:val="nl-NL"/>
        </w:rPr>
        <w:t>** Artikel B gewijzigd (op 13 december 2011) in volgende tekst:</w:t>
      </w:r>
    </w:p>
    <w:p>
      <w:pPr>
        <w:pStyle w:val="Standaard"/>
        <w:rPr>
          <w:rFonts w:ascii="Times New Roman Bold" w:cs="Times New Roman Bold" w:hAnsi="Times New Roman Bold" w:eastAsia="Times New Roman Bold"/>
        </w:rPr>
      </w:pPr>
    </w:p>
    <w:p>
      <w:pPr>
        <w:pStyle w:val="Standaard"/>
      </w:pPr>
      <w:r>
        <w:rPr>
          <w:rFonts w:ascii="Times New Roman Bold"/>
          <w:rtl w:val="0"/>
          <w:lang w:val="nl-NL"/>
        </w:rPr>
        <w:t>In artikel B staat dat de aanvrager die een bouw- of omgevingsvergunning voor de gewijzigde bouwverordening heeft ingediend, de mogelijkheid heeft de regelgeving van toepassing te laten zijn die geldt na de wijziging van de bouwverordening. Dit geldt uiteraard niet voor de van rechtswege vervallen artikelen van de bouwverordening, omdat het voor deze artikelen in de plaats komende rijksregelgeving een dergelijke mogelijkheid niet kent.</w:t>
      </w:r>
      <w:r>
        <w:rPr>
          <w:rFonts w:ascii="Arial Unicode MS" w:cs="Arial Unicode MS" w:hAnsi="Times New Roman" w:eastAsia="Arial Unicode MS" w:hint="default"/>
          <w:rtl w:val="0"/>
          <w:lang w:val="nl-NL"/>
        </w:rPr>
        <w:t>”</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 w:name="Arial Bold">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right" w:pos="9046"/>
        <w:tab w:val="clear" w:pos="9072"/>
      </w:tabs>
      <w:jc w:val="right"/>
    </w:pPr>
    <w:r>
      <w:rPr>
        <w:rtl w:val="0"/>
      </w:rPr>
      <w:fldChar w:fldCharType="begin" w:fldLock="0"/>
    </w:r>
    <w:r>
      <w:rPr>
        <w:rtl w:val="0"/>
      </w:rPr>
      <w:t xml:space="preserve"> PAGE </w:t>
    </w:r>
    <w:r>
      <w:rPr>
        <w:rtl w:val="0"/>
      </w:rPr>
      <w:fldChar w:fldCharType="separate" w:fldLock="0"/>
    </w:r>
    <w:r>
      <w:rPr>
        <w:rtl w:val="0"/>
      </w:rPr>
      <w:t>14</w:t>
    </w:r>
    <w:r>
      <w:rPr>
        <w:rtl w:val="0"/>
      </w:rPr>
      <w:fldChar w:fldCharType="end" w:fldLock="0"/>
    </w: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2"/>
      <w:numFmt w:val="bullet"/>
      <w:suff w:val="tab"/>
      <w:lvlText w:val="-"/>
      <w:lvlJc w:val="left"/>
      <w:pPr/>
      <w:rPr>
        <w:position w:val="0"/>
        <w:rtl w:val="0"/>
      </w:rPr>
    </w:lvl>
    <w:lvl w:ilvl="1">
      <w:start w:val="1"/>
      <w:numFmt w:val="bullet"/>
      <w:suff w:val="tab"/>
      <w:lvlText w:val="o"/>
      <w:lvlJc w:val="left"/>
      <w:pPr/>
      <w:rPr>
        <w:position w:val="0"/>
        <w:rtl w:val="0"/>
      </w:rPr>
    </w:lvl>
    <w:lvl w:ilvl="2">
      <w:start w:val="1"/>
      <w:numFmt w:val="bullet"/>
      <w:suff w:val="tab"/>
      <w:lvlText w:val="▪"/>
      <w:lvlJc w:val="left"/>
      <w:pPr/>
      <w:rPr>
        <w:position w:val="0"/>
        <w:rtl w:val="0"/>
      </w:rPr>
    </w:lvl>
    <w:lvl w:ilvl="3">
      <w:start w:val="1"/>
      <w:numFmt w:val="bullet"/>
      <w:suff w:val="tab"/>
      <w:lvlText w:val="•"/>
      <w:lvlJc w:val="left"/>
      <w:pPr/>
      <w:rPr>
        <w:position w:val="0"/>
        <w:rtl w:val="0"/>
      </w:rPr>
    </w:lvl>
    <w:lvl w:ilvl="4">
      <w:start w:val="1"/>
      <w:numFmt w:val="bullet"/>
      <w:suff w:val="tab"/>
      <w:lvlText w:val="o"/>
      <w:lvlJc w:val="left"/>
      <w:pPr/>
      <w:rPr>
        <w:position w:val="0"/>
        <w:rtl w:val="0"/>
      </w:rPr>
    </w:lvl>
    <w:lvl w:ilvl="5">
      <w:start w:val="1"/>
      <w:numFmt w:val="bullet"/>
      <w:suff w:val="tab"/>
      <w:lvlText w:val="▪"/>
      <w:lvlJc w:val="left"/>
      <w:pPr/>
      <w:rPr>
        <w:position w:val="0"/>
        <w:rtl w:val="0"/>
      </w:rPr>
    </w:lvl>
    <w:lvl w:ilvl="6">
      <w:start w:val="1"/>
      <w:numFmt w:val="bullet"/>
      <w:suff w:val="tab"/>
      <w:lvlText w:val="•"/>
      <w:lvlJc w:val="left"/>
      <w:pPr/>
      <w:rPr>
        <w:position w:val="0"/>
        <w:rtl w:val="0"/>
      </w:rPr>
    </w:lvl>
    <w:lvl w:ilvl="7">
      <w:start w:val="1"/>
      <w:numFmt w:val="bullet"/>
      <w:suff w:val="tab"/>
      <w:lvlText w:val="o"/>
      <w:lvlJc w:val="left"/>
      <w:pPr/>
      <w:rPr>
        <w:position w:val="0"/>
        <w:rtl w:val="0"/>
      </w:rPr>
    </w:lvl>
    <w:lvl w:ilvl="8">
      <w:start w:val="1"/>
      <w:numFmt w:val="bullet"/>
      <w:suff w:val="tab"/>
      <w:lvlText w:val="▪"/>
      <w:lvlJc w:val="left"/>
      <w:pPr/>
      <w:rPr>
        <w:position w:val="0"/>
        <w:rtl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Voettekst">
    <w:name w:val="Voettekst"/>
    <w:next w:val="Voettekst"/>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 w:type="numbering" w:styleId="List 0">
    <w:name w:val="List 0"/>
    <w:basedOn w:val="Geïmporteerde stijl 1"/>
    <w:next w:val="List 0"/>
    <w:pPr>
      <w:numPr>
        <w:numId w:val="1"/>
      </w:numPr>
    </w:pPr>
  </w:style>
  <w:style w:type="numbering" w:styleId="Geïmporteerde stijl 1">
    <w:name w:val="Geïmporteerde stijl 1"/>
    <w:next w:val="Geïmporteerde stijl 1"/>
    <w:pPr>
      <w:numPr>
        <w:numId w:val="2"/>
      </w:numPr>
    </w:pPr>
  </w:style>
  <w:style w:type="paragraph" w:styleId="Kop 4">
    <w:name w:val="Kop 4"/>
    <w:next w:val="Standaard"/>
    <w:pPr>
      <w:keepNext w:val="1"/>
      <w:keepLines w:val="0"/>
      <w:pageBreakBefore w:val="0"/>
      <w:widowControl w:val="1"/>
      <w:shd w:val="clear" w:color="auto" w:fill="auto"/>
      <w:suppressAutoHyphens w:val="0"/>
      <w:bidi w:val="0"/>
      <w:spacing w:before="240" w:after="60" w:line="240" w:lineRule="auto"/>
      <w:ind w:left="0" w:right="0" w:firstLine="0"/>
      <w:jc w:val="left"/>
      <w:outlineLvl w:val="3"/>
    </w:pPr>
    <w:rPr>
      <w:rFonts w:ascii="Times New Roman Bold" w:cs="Arial Unicode MS" w:hAnsi="Arial Unicode MS" w:eastAsia="Arial Unicode MS"/>
      <w:b w:val="0"/>
      <w:bCs w:val="0"/>
      <w:i w:val="0"/>
      <w:iCs w:val="0"/>
      <w:caps w:val="0"/>
      <w:smallCaps w:val="0"/>
      <w:strike w:val="0"/>
      <w:dstrike w:val="0"/>
      <w:outline w:val="0"/>
      <w:color w:val="000000"/>
      <w:spacing w:val="0"/>
      <w:kern w:val="0"/>
      <w:position w:val="0"/>
      <w:sz w:val="28"/>
      <w:szCs w:val="28"/>
      <w:u w:val="none" w:color="000000"/>
      <w:vertAlign w:val="baseline"/>
      <w:lang w:val="nl-NL"/>
    </w:rPr>
  </w:style>
  <w:style w:type="paragraph" w:styleId="Kop 2">
    <w:name w:val="Kop 2"/>
    <w:next w:val="Kop 2"/>
    <w:pPr>
      <w:keepNext w:val="0"/>
      <w:keepLines w:val="0"/>
      <w:pageBreakBefore w:val="0"/>
      <w:widowControl w:val="1"/>
      <w:shd w:val="clear" w:color="auto" w:fill="auto"/>
      <w:suppressAutoHyphens w:val="0"/>
      <w:bidi w:val="0"/>
      <w:spacing w:before="100" w:after="100" w:line="240" w:lineRule="auto"/>
      <w:ind w:left="0" w:right="0" w:firstLine="0"/>
      <w:jc w:val="left"/>
      <w:outlineLvl w:val="1"/>
    </w:pPr>
    <w:rPr>
      <w:rFonts w:ascii="Times New Roman Bold" w:cs="Arial Unicode MS" w:hAnsi="Arial Unicode MS" w:eastAsia="Arial Unicode MS"/>
      <w:b w:val="0"/>
      <w:bCs w:val="0"/>
      <w:i w:val="0"/>
      <w:iCs w:val="0"/>
      <w:caps w:val="0"/>
      <w:smallCaps w:val="0"/>
      <w:strike w:val="0"/>
      <w:dstrike w:val="0"/>
      <w:outline w:val="0"/>
      <w:color w:val="000000"/>
      <w:spacing w:val="0"/>
      <w:kern w:val="0"/>
      <w:position w:val="0"/>
      <w:sz w:val="36"/>
      <w:szCs w:val="36"/>
      <w:u w:val="none" w:color="000000"/>
      <w:vertAlign w:val="baseline"/>
      <w:lang w:val="nl-NL"/>
    </w:rPr>
  </w:style>
  <w:style w:type="paragraph" w:styleId="Kop 3">
    <w:name w:val="Kop 3"/>
    <w:next w:val="Standaard"/>
    <w:pPr>
      <w:keepNext w:val="1"/>
      <w:keepLines w:val="0"/>
      <w:pageBreakBefore w:val="0"/>
      <w:widowControl w:val="1"/>
      <w:shd w:val="clear" w:color="auto" w:fill="auto"/>
      <w:suppressAutoHyphens w:val="0"/>
      <w:bidi w:val="0"/>
      <w:spacing w:before="240" w:after="60" w:line="240" w:lineRule="auto"/>
      <w:ind w:left="0" w:right="0" w:firstLine="0"/>
      <w:jc w:val="left"/>
      <w:outlineLvl w:val="2"/>
    </w:pPr>
    <w:rPr>
      <w:rFonts w:ascii="Arial Bold" w:cs="Arial Unicode MS" w:hAnsi="Arial Unicode MS" w:eastAsia="Arial Unicode MS"/>
      <w:b w:val="0"/>
      <w:bCs w:val="0"/>
      <w:i w:val="0"/>
      <w:iCs w:val="0"/>
      <w:caps w:val="0"/>
      <w:smallCaps w:val="0"/>
      <w:strike w:val="0"/>
      <w:dstrike w:val="0"/>
      <w:outline w:val="0"/>
      <w:color w:val="000000"/>
      <w:spacing w:val="0"/>
      <w:kern w:val="0"/>
      <w:position w:val="0"/>
      <w:sz w:val="26"/>
      <w:szCs w:val="26"/>
      <w:u w:val="none" w:color="000000"/>
      <w:vertAlign w:val="baseline"/>
      <w:lang w:val="nl-NL"/>
    </w:rPr>
  </w:style>
  <w:style w:type="paragraph" w:styleId="Normaal (web)">
    <w:name w:val="Normaal (web)"/>
    <w:next w:val="Norma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xml"/><Relationship Id="rId5" Type="http://schemas.openxmlformats.org/officeDocument/2006/relationships/footer" Target="footer.xml"/><Relationship Id="rId6"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